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805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附件1</w:t>
      </w:r>
    </w:p>
    <w:p w14:paraId="71DB5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r>
        <w:rPr>
          <w:rFonts w:hint="eastAsia" w:ascii="方正小标宋简体" w:hAnsi="方正小标宋简体" w:eastAsia="方正小标宋简体" w:cs="方正小标宋简体"/>
          <w:sz w:val="44"/>
          <w:szCs w:val="44"/>
          <w:lang w:val="en-US" w:eastAsia="zh-CN"/>
        </w:rPr>
        <w:t>建设项目占用保护区申请材料清单</w:t>
      </w:r>
    </w:p>
    <w:p w14:paraId="06DB45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distribute"/>
        <w:textAlignment w:val="auto"/>
        <w:rPr>
          <w:rFonts w:hint="eastAsia" w:ascii="仿宋_GB2312" w:hAnsi="仿宋_GB2312" w:eastAsia="仿宋_GB2312" w:cs="仿宋_GB2312"/>
          <w:b w:val="0"/>
          <w:bCs w:val="0"/>
          <w:i w:val="0"/>
          <w:iCs w:val="0"/>
          <w:caps w:val="0"/>
          <w:color w:val="262626"/>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rPr>
        <w:t>《在国家级自然保护区修筑设施审批管理暂行办法》（国家林业局第50号令）</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第</w:t>
      </w:r>
      <w:r>
        <w:rPr>
          <w:rFonts w:hint="eastAsia" w:ascii="仿宋_GB2312" w:hAnsi="仿宋_GB2312" w:eastAsia="仿宋_GB2312" w:cs="仿宋_GB2312"/>
          <w:i w:val="0"/>
          <w:iCs w:val="0"/>
          <w:caps w:val="0"/>
          <w:color w:val="262626"/>
          <w:spacing w:val="0"/>
          <w:sz w:val="32"/>
          <w:szCs w:val="32"/>
          <w:shd w:val="clear" w:color="auto" w:fill="FFFFFF"/>
          <w:lang w:val="en-US" w:eastAsia="zh-CN"/>
        </w:rPr>
        <w:t>三条规定，</w:t>
      </w:r>
      <w:r>
        <w:rPr>
          <w:rFonts w:hint="eastAsia" w:ascii="仿宋_GB2312" w:hAnsi="仿宋_GB2312" w:eastAsia="仿宋_GB2312" w:cs="仿宋_GB2312"/>
          <w:b w:val="0"/>
          <w:bCs w:val="0"/>
          <w:i w:val="0"/>
          <w:iCs w:val="0"/>
          <w:caps w:val="0"/>
          <w:color w:val="262626"/>
          <w:spacing w:val="0"/>
          <w:sz w:val="32"/>
          <w:szCs w:val="32"/>
          <w:shd w:val="clear" w:color="auto" w:fill="FFFFFF"/>
        </w:rPr>
        <w:t>在国家级自然保护区修筑设施，应当经国家林业局审查批准。</w:t>
      </w:r>
      <w:r>
        <w:rPr>
          <w:rFonts w:hint="eastAsia" w:ascii="仿宋_GB2312" w:hAnsi="仿宋_GB2312" w:eastAsia="仿宋_GB2312" w:cs="仿宋_GB2312"/>
          <w:b w:val="0"/>
          <w:bCs w:val="0"/>
          <w:i w:val="0"/>
          <w:iCs w:val="0"/>
          <w:caps w:val="0"/>
          <w:color w:val="262626"/>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262626"/>
          <w:spacing w:val="0"/>
          <w:sz w:val="32"/>
          <w:szCs w:val="32"/>
          <w:shd w:val="clear" w:color="auto" w:fill="FFFFFF"/>
        </w:rPr>
        <w:t>国家林业和草原局公告（2021年第2号）</w:t>
      </w:r>
      <w:r>
        <w:rPr>
          <w:rFonts w:hint="eastAsia" w:ascii="仿宋_GB2312" w:hAnsi="仿宋_GB2312" w:eastAsia="仿宋_GB2312" w:cs="仿宋_GB2312"/>
          <w:b w:val="0"/>
          <w:bCs w:val="0"/>
          <w:i w:val="0"/>
          <w:iCs w:val="0"/>
          <w:caps w:val="0"/>
          <w:color w:val="262626"/>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262626"/>
          <w:spacing w:val="0"/>
          <w:sz w:val="32"/>
          <w:szCs w:val="32"/>
          <w:shd w:val="clear" w:color="auto" w:fill="FFFFFF"/>
          <w:lang w:val="en-US" w:eastAsia="zh-CN"/>
        </w:rPr>
        <w:t>规定，将《森林和野生动物类型自然保护区管理办法》第十一条规定的在森林和野生动物类型国家级自然保护区修筑设施审批事项，委托各省、自治区、直辖市、新疆生产建设兵团林业和草原主管部门实施。</w:t>
      </w:r>
      <w:r>
        <w:rPr>
          <w:rFonts w:hint="eastAsia" w:ascii="仿宋_GB2312" w:hAnsi="仿宋_GB2312" w:eastAsia="仿宋_GB2312" w:cs="仿宋_GB2312"/>
          <w:b w:val="0"/>
          <w:bCs w:val="0"/>
          <w:i w:val="0"/>
          <w:iCs w:val="0"/>
          <w:caps w:val="0"/>
          <w:color w:val="262626"/>
          <w:spacing w:val="0"/>
          <w:sz w:val="32"/>
          <w:szCs w:val="32"/>
          <w:shd w:val="clear" w:color="auto" w:fill="FFFFFF"/>
          <w:lang w:eastAsia="zh-CN"/>
        </w:rPr>
        <w:t>《内蒙古自治区大青山国家级自然保护区条例》</w:t>
      </w:r>
      <w:r>
        <w:rPr>
          <w:rFonts w:hint="eastAsia" w:ascii="仿宋_GB2312" w:hAnsi="仿宋_GB2312" w:eastAsia="仿宋_GB2312" w:cs="仿宋_GB2312"/>
          <w:b w:val="0"/>
          <w:bCs w:val="0"/>
          <w:i w:val="0"/>
          <w:iCs w:val="0"/>
          <w:caps w:val="0"/>
          <w:color w:val="262626"/>
          <w:spacing w:val="0"/>
          <w:sz w:val="32"/>
          <w:szCs w:val="32"/>
          <w:shd w:val="clear" w:color="auto" w:fill="FFFFFF"/>
          <w:lang w:val="en-US" w:eastAsia="zh-CN"/>
        </w:rPr>
        <w:t>第二十七条规定，</w:t>
      </w:r>
      <w:r>
        <w:rPr>
          <w:rFonts w:hint="eastAsia" w:ascii="仿宋_GB2312" w:hAnsi="仿宋_GB2312" w:eastAsia="仿宋_GB2312" w:cs="仿宋_GB2312"/>
          <w:b w:val="0"/>
          <w:bCs w:val="0"/>
          <w:color w:val="262626"/>
          <w:sz w:val="32"/>
          <w:szCs w:val="32"/>
          <w:shd w:val="clear" w:color="auto" w:fill="FFFFFF"/>
        </w:rPr>
        <w:t>经依法批准占用保护区自然资源的项目，应当按照国家和自治区有关规定缴纳保护区生态环境恢复治理补偿费。</w:t>
      </w:r>
    </w:p>
    <w:tbl>
      <w:tblPr>
        <w:tblStyle w:val="3"/>
        <w:tblpPr w:leftFromText="180" w:rightFromText="180" w:vertAnchor="text" w:horzAnchor="page" w:tblpX="1821" w:tblpY="11"/>
        <w:tblOverlap w:val="never"/>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4431"/>
        <w:gridCol w:w="2040"/>
        <w:gridCol w:w="1568"/>
      </w:tblGrid>
      <w:tr w14:paraId="4A1E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2" w:type="dxa"/>
            <w:noWrap w:val="0"/>
            <w:vAlign w:val="top"/>
          </w:tcPr>
          <w:p w14:paraId="2C9DB613">
            <w:pPr>
              <w:snapToGrid w:val="0"/>
              <w:spacing w:line="240" w:lineRule="auto"/>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材料</w:t>
            </w:r>
          </w:p>
          <w:p w14:paraId="0B8851BB">
            <w:pPr>
              <w:snapToGrid w:val="0"/>
              <w:spacing w:line="240" w:lineRule="auto"/>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4431" w:type="dxa"/>
            <w:noWrap w:val="0"/>
            <w:vAlign w:val="center"/>
          </w:tcPr>
          <w:p w14:paraId="79850577">
            <w:pPr>
              <w:snapToGrid w:val="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 请 材 料 清 单</w:t>
            </w:r>
          </w:p>
        </w:tc>
        <w:tc>
          <w:tcPr>
            <w:tcW w:w="2040" w:type="dxa"/>
            <w:noWrap w:val="0"/>
            <w:vAlign w:val="center"/>
          </w:tcPr>
          <w:p w14:paraId="07D6FE0E">
            <w:pPr>
              <w:snapToGrid w:val="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提供单位</w:t>
            </w:r>
          </w:p>
        </w:tc>
        <w:tc>
          <w:tcPr>
            <w:tcW w:w="1568" w:type="dxa"/>
            <w:noWrap w:val="0"/>
            <w:vAlign w:val="center"/>
          </w:tcPr>
          <w:p w14:paraId="44ED22FC">
            <w:pPr>
              <w:snapToGrid w:val="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适用情形</w:t>
            </w:r>
          </w:p>
        </w:tc>
      </w:tr>
      <w:tr w14:paraId="07D4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2" w:type="dxa"/>
            <w:noWrap w:val="0"/>
            <w:vAlign w:val="top"/>
          </w:tcPr>
          <w:p w14:paraId="6154007B">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431" w:type="dxa"/>
            <w:noWrap w:val="0"/>
            <w:vAlign w:val="top"/>
          </w:tcPr>
          <w:p w14:paraId="6AC45958">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auto"/>
                <w:kern w:val="0"/>
                <w:sz w:val="24"/>
                <w:szCs w:val="24"/>
                <w:lang w:val="en-US" w:eastAsia="zh-CN"/>
              </w:rPr>
              <w:t>申请文件</w:t>
            </w:r>
          </w:p>
        </w:tc>
        <w:tc>
          <w:tcPr>
            <w:tcW w:w="2040" w:type="dxa"/>
            <w:noWrap w:val="0"/>
            <w:vAlign w:val="top"/>
          </w:tcPr>
          <w:p w14:paraId="1BF12823">
            <w:pPr>
              <w:snapToGrid w:val="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项目单位</w:t>
            </w:r>
          </w:p>
        </w:tc>
        <w:tc>
          <w:tcPr>
            <w:tcW w:w="1568" w:type="dxa"/>
            <w:vMerge w:val="restart"/>
            <w:noWrap w:val="0"/>
            <w:vAlign w:val="top"/>
          </w:tcPr>
          <w:p w14:paraId="2FD8D4FE">
            <w:pPr>
              <w:snapToGrid w:val="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4"/>
                <w:szCs w:val="24"/>
                <w:vertAlign w:val="baseline"/>
                <w:lang w:val="en-US" w:eastAsia="zh-CN"/>
              </w:rPr>
              <w:t>仅适用于</w:t>
            </w:r>
            <w:r>
              <w:rPr>
                <w:rFonts w:hint="eastAsia" w:ascii="宋体" w:hAnsi="宋体" w:cs="宋体"/>
                <w:sz w:val="24"/>
                <w:szCs w:val="24"/>
                <w:vertAlign w:val="baseline"/>
                <w:lang w:val="en-US" w:eastAsia="zh-CN"/>
              </w:rPr>
              <w:t>保护区</w:t>
            </w:r>
            <w:r>
              <w:rPr>
                <w:rFonts w:hint="eastAsia" w:ascii="宋体" w:hAnsi="宋体" w:eastAsia="宋体" w:cs="宋体"/>
                <w:sz w:val="24"/>
                <w:szCs w:val="24"/>
                <w:vertAlign w:val="baseline"/>
                <w:lang w:val="en-US" w:eastAsia="zh-CN"/>
              </w:rPr>
              <w:t>实验区</w:t>
            </w:r>
          </w:p>
          <w:p w14:paraId="0A95C363">
            <w:pPr>
              <w:snapToGrid w:val="0"/>
              <w:jc w:val="both"/>
              <w:rPr>
                <w:rFonts w:hint="eastAsia" w:ascii="宋体" w:hAnsi="宋体" w:eastAsia="宋体" w:cs="宋体"/>
                <w:sz w:val="24"/>
                <w:szCs w:val="24"/>
                <w:vertAlign w:val="baseline"/>
                <w:lang w:val="en-US" w:eastAsia="zh-CN"/>
              </w:rPr>
            </w:pPr>
          </w:p>
        </w:tc>
      </w:tr>
      <w:tr w14:paraId="1E1F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2" w:type="dxa"/>
            <w:noWrap w:val="0"/>
            <w:vAlign w:val="top"/>
          </w:tcPr>
          <w:p w14:paraId="7728E3F0">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431" w:type="dxa"/>
            <w:noWrap w:val="0"/>
            <w:vAlign w:val="top"/>
          </w:tcPr>
          <w:p w14:paraId="71408B33">
            <w:pPr>
              <w:snapToGrid w:val="0"/>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auto"/>
                <w:kern w:val="0"/>
                <w:sz w:val="24"/>
                <w:szCs w:val="24"/>
                <w:lang w:eastAsia="zh-CN"/>
              </w:rPr>
              <w:t>在森林和野生动物类型国家级自然保护区修筑设施事项申请表</w:t>
            </w:r>
          </w:p>
        </w:tc>
        <w:tc>
          <w:tcPr>
            <w:tcW w:w="2040" w:type="dxa"/>
            <w:noWrap w:val="0"/>
            <w:vAlign w:val="top"/>
          </w:tcPr>
          <w:p w14:paraId="449C701E">
            <w:pPr>
              <w:snapToGrid w:val="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项目单位</w:t>
            </w:r>
          </w:p>
        </w:tc>
        <w:tc>
          <w:tcPr>
            <w:tcW w:w="1568" w:type="dxa"/>
            <w:vMerge w:val="continue"/>
            <w:noWrap w:val="0"/>
            <w:vAlign w:val="top"/>
          </w:tcPr>
          <w:p w14:paraId="3AC12B21">
            <w:pPr>
              <w:snapToGrid w:val="0"/>
              <w:jc w:val="center"/>
              <w:rPr>
                <w:rFonts w:hint="eastAsia" w:ascii="宋体" w:hAnsi="宋体" w:eastAsia="宋体" w:cs="宋体"/>
                <w:sz w:val="24"/>
                <w:szCs w:val="24"/>
                <w:vertAlign w:val="baseline"/>
                <w:lang w:val="en-US" w:eastAsia="zh-CN"/>
              </w:rPr>
            </w:pPr>
          </w:p>
        </w:tc>
      </w:tr>
      <w:tr w14:paraId="576F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2" w:type="dxa"/>
            <w:noWrap w:val="0"/>
            <w:vAlign w:val="top"/>
          </w:tcPr>
          <w:p w14:paraId="6B50C144">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431" w:type="dxa"/>
            <w:noWrap w:val="0"/>
            <w:vAlign w:val="top"/>
          </w:tcPr>
          <w:p w14:paraId="378A5B8C">
            <w:pPr>
              <w:snapToGrid w:val="0"/>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auto"/>
                <w:kern w:val="0"/>
                <w:sz w:val="24"/>
                <w:szCs w:val="24"/>
                <w:lang w:eastAsia="zh-CN"/>
              </w:rPr>
              <w:t>县级以上人民政府及有关部门批准修筑设施的文件</w:t>
            </w:r>
          </w:p>
        </w:tc>
        <w:tc>
          <w:tcPr>
            <w:tcW w:w="2040" w:type="dxa"/>
            <w:noWrap w:val="0"/>
            <w:vAlign w:val="top"/>
          </w:tcPr>
          <w:p w14:paraId="21D41A39">
            <w:pPr>
              <w:snapToGrid w:val="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项目审批部门或有关人民政府</w:t>
            </w:r>
          </w:p>
        </w:tc>
        <w:tc>
          <w:tcPr>
            <w:tcW w:w="1568" w:type="dxa"/>
            <w:vMerge w:val="continue"/>
            <w:noWrap w:val="0"/>
            <w:vAlign w:val="top"/>
          </w:tcPr>
          <w:p w14:paraId="077AF16D">
            <w:pPr>
              <w:snapToGrid w:val="0"/>
              <w:jc w:val="center"/>
              <w:rPr>
                <w:rFonts w:hint="eastAsia" w:ascii="宋体" w:hAnsi="宋体" w:eastAsia="宋体" w:cs="宋体"/>
                <w:sz w:val="24"/>
                <w:szCs w:val="24"/>
                <w:vertAlign w:val="baseline"/>
                <w:lang w:val="en-US" w:eastAsia="zh-CN"/>
              </w:rPr>
            </w:pPr>
          </w:p>
        </w:tc>
      </w:tr>
      <w:tr w14:paraId="7F07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2" w:type="dxa"/>
            <w:noWrap w:val="0"/>
            <w:vAlign w:val="top"/>
          </w:tcPr>
          <w:p w14:paraId="038F16D6">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431" w:type="dxa"/>
            <w:noWrap w:val="0"/>
            <w:vAlign w:val="top"/>
          </w:tcPr>
          <w:p w14:paraId="7AB3B452">
            <w:pPr>
              <w:snapToGrid w:val="0"/>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auto"/>
                <w:kern w:val="0"/>
                <w:sz w:val="24"/>
                <w:szCs w:val="24"/>
                <w:lang w:eastAsia="zh-CN"/>
              </w:rPr>
              <w:t>拟修筑设施必须建设且无法避让国家级自然保护区的说明材料（拟修筑设施项目的规划或者工程设计文件等；机场、铁路、公路、水利水电、输气（油）管线等建设项目，还应当提供修筑设施在选址选线上无法避让国家级自然保护区的比选方案）</w:t>
            </w:r>
          </w:p>
        </w:tc>
        <w:tc>
          <w:tcPr>
            <w:tcW w:w="2040" w:type="dxa"/>
            <w:noWrap w:val="0"/>
            <w:vAlign w:val="top"/>
          </w:tcPr>
          <w:p w14:paraId="20E78AC0">
            <w:pPr>
              <w:snapToGrid w:val="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项目单位</w:t>
            </w:r>
          </w:p>
        </w:tc>
        <w:tc>
          <w:tcPr>
            <w:tcW w:w="1568" w:type="dxa"/>
            <w:vMerge w:val="continue"/>
            <w:noWrap w:val="0"/>
            <w:vAlign w:val="top"/>
          </w:tcPr>
          <w:p w14:paraId="2E6BE0AF">
            <w:pPr>
              <w:snapToGrid w:val="0"/>
              <w:jc w:val="center"/>
              <w:rPr>
                <w:rFonts w:hint="eastAsia" w:ascii="宋体" w:hAnsi="宋体" w:eastAsia="宋体" w:cs="宋体"/>
                <w:sz w:val="24"/>
                <w:szCs w:val="24"/>
                <w:vertAlign w:val="baseline"/>
                <w:lang w:val="en-US" w:eastAsia="zh-CN"/>
              </w:rPr>
            </w:pPr>
          </w:p>
        </w:tc>
      </w:tr>
      <w:tr w14:paraId="667B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2" w:type="dxa"/>
            <w:noWrap w:val="0"/>
            <w:vAlign w:val="top"/>
          </w:tcPr>
          <w:p w14:paraId="3390E01A">
            <w:pPr>
              <w:snapToGrid w:val="0"/>
              <w:spacing w:line="240" w:lineRule="auto"/>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材料</w:t>
            </w:r>
          </w:p>
          <w:p w14:paraId="5FFBEDF0">
            <w:pPr>
              <w:snapToGrid w:val="0"/>
              <w:spacing w:line="240" w:lineRule="auto"/>
              <w:jc w:val="both"/>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序号</w:t>
            </w:r>
          </w:p>
        </w:tc>
        <w:tc>
          <w:tcPr>
            <w:tcW w:w="4431" w:type="dxa"/>
            <w:noWrap w:val="0"/>
            <w:vAlign w:val="center"/>
          </w:tcPr>
          <w:p w14:paraId="395195C6">
            <w:pPr>
              <w:snapToGrid w:val="0"/>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申 请 材 料 清 单</w:t>
            </w:r>
          </w:p>
        </w:tc>
        <w:tc>
          <w:tcPr>
            <w:tcW w:w="2040" w:type="dxa"/>
            <w:noWrap w:val="0"/>
            <w:vAlign w:val="center"/>
          </w:tcPr>
          <w:p w14:paraId="445D477D">
            <w:pPr>
              <w:snapToGrid w:val="0"/>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提供单位</w:t>
            </w:r>
          </w:p>
        </w:tc>
        <w:tc>
          <w:tcPr>
            <w:tcW w:w="1568" w:type="dxa"/>
            <w:noWrap w:val="0"/>
            <w:vAlign w:val="center"/>
          </w:tcPr>
          <w:p w14:paraId="47232F72">
            <w:pPr>
              <w:snapToGrid w:val="0"/>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适用情形</w:t>
            </w:r>
          </w:p>
        </w:tc>
      </w:tr>
      <w:tr w14:paraId="7C7C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2" w:type="dxa"/>
            <w:noWrap w:val="0"/>
            <w:vAlign w:val="top"/>
          </w:tcPr>
          <w:p w14:paraId="1BF17477">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431" w:type="dxa"/>
            <w:noWrap w:val="0"/>
            <w:vAlign w:val="top"/>
          </w:tcPr>
          <w:p w14:paraId="7CD6D210">
            <w:pPr>
              <w:snapToGrid w:val="0"/>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拟修筑设施对国家级自然保护区自然资源、自然生态系统和主要保护对象影响的评价报告或者生物多样性影响评价登记表，以及减轻影响和恢复生态的补救性措施</w:t>
            </w:r>
          </w:p>
        </w:tc>
        <w:tc>
          <w:tcPr>
            <w:tcW w:w="2040" w:type="dxa"/>
            <w:noWrap w:val="0"/>
            <w:vAlign w:val="top"/>
          </w:tcPr>
          <w:p w14:paraId="468CBF04">
            <w:pPr>
              <w:snapToGrid w:val="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项目单位</w:t>
            </w:r>
          </w:p>
        </w:tc>
        <w:tc>
          <w:tcPr>
            <w:tcW w:w="1568" w:type="dxa"/>
            <w:noWrap w:val="0"/>
            <w:vAlign w:val="top"/>
          </w:tcPr>
          <w:p w14:paraId="646F93F5">
            <w:pPr>
              <w:snapToGrid w:val="0"/>
              <w:ind w:firstLine="42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1"/>
                <w:szCs w:val="21"/>
                <w:vertAlign w:val="baseline"/>
                <w:lang w:val="en-US" w:eastAsia="zh-CN"/>
              </w:rPr>
              <w:t>　　</w:t>
            </w:r>
          </w:p>
        </w:tc>
      </w:tr>
    </w:tbl>
    <w:p w14:paraId="6D95C2D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lang w:val="en-US" w:eastAsia="zh-CN"/>
        </w:rPr>
      </w:pPr>
    </w:p>
    <w:p w14:paraId="7AFFA8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bCs/>
          <w:sz w:val="32"/>
          <w:szCs w:val="32"/>
          <w:vertAlign w:val="baseline"/>
          <w:lang w:val="en-US" w:eastAsia="zh-CN"/>
        </w:rPr>
      </w:pPr>
      <w:r>
        <w:rPr>
          <w:rFonts w:hint="eastAsia" w:ascii="黑体" w:hAnsi="黑体" w:eastAsia="黑体" w:cs="黑体"/>
          <w:sz w:val="32"/>
          <w:szCs w:val="32"/>
          <w:lang w:val="en-US" w:eastAsia="zh-CN"/>
        </w:rPr>
        <w:t>注：</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vertAlign w:val="baseline"/>
          <w:lang w:val="en-US" w:eastAsia="zh-CN"/>
        </w:rPr>
        <w:t>保护区内允许修筑以下设施：</w:t>
      </w:r>
    </w:p>
    <w:p w14:paraId="13054F40">
      <w:pPr>
        <w:keepNext w:val="0"/>
        <w:keepLines w:val="0"/>
        <w:pageBreakBefore w:val="0"/>
        <w:widowControl w:val="0"/>
        <w:kinsoku/>
        <w:wordWrap/>
        <w:overflowPunct/>
        <w:topLinePunct w:val="0"/>
        <w:autoSpaceDE/>
        <w:autoSpaceDN/>
        <w:bidi w:val="0"/>
        <w:adjustRightInd/>
        <w:snapToGrid w:val="0"/>
        <w:spacing w:line="560" w:lineRule="exact"/>
        <w:ind w:left="960" w:hanging="960" w:hangingChars="3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1.保护、监测、科研、教育、生态修复等项目，必要的生态旅游设施等。</w:t>
      </w:r>
    </w:p>
    <w:p w14:paraId="008CFD1E">
      <w:pPr>
        <w:keepNext w:val="0"/>
        <w:keepLines w:val="0"/>
        <w:pageBreakBefore w:val="0"/>
        <w:widowControl w:val="0"/>
        <w:kinsoku/>
        <w:wordWrap/>
        <w:overflowPunct/>
        <w:topLinePunct w:val="0"/>
        <w:autoSpaceDE/>
        <w:autoSpaceDN/>
        <w:bidi w:val="0"/>
        <w:adjustRightInd/>
        <w:snapToGrid w:val="0"/>
        <w:spacing w:line="560" w:lineRule="exact"/>
        <w:ind w:left="958" w:leftChars="304" w:hanging="320" w:hangingChars="1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2.在不对自然保护区生态系统和保护对象产生影响的前提下，确实无法避让的重大基础设施、民生、国防建设、公共事业项目。</w:t>
      </w:r>
    </w:p>
    <w:p w14:paraId="30610E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（二）原则上不允许新建以下设施：</w:t>
      </w:r>
    </w:p>
    <w:p w14:paraId="1EB84E4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1.开垦、开矿、采石、挖沙等活动相关设施。</w:t>
      </w:r>
    </w:p>
    <w:p w14:paraId="3967E9F4">
      <w:pPr>
        <w:keepNext w:val="0"/>
        <w:keepLines w:val="0"/>
        <w:pageBreakBefore w:val="0"/>
        <w:widowControl w:val="0"/>
        <w:kinsoku/>
        <w:wordWrap/>
        <w:overflowPunct/>
        <w:topLinePunct w:val="0"/>
        <w:autoSpaceDE/>
        <w:autoSpaceDN/>
        <w:bidi w:val="0"/>
        <w:adjustRightInd/>
        <w:snapToGrid/>
        <w:spacing w:line="560" w:lineRule="exact"/>
        <w:ind w:left="960"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val="en-US" w:eastAsia="zh-CN"/>
        </w:rPr>
        <w:t>　　2.开发区建设、房地产开发、度假村、宾馆饭店、会所、高尔夫球场、风电和光伏电站建设、火力发电、索道建设等不符合自然保护区主体功能定位的建设项目。</w:t>
      </w:r>
    </w:p>
    <w:p w14:paraId="1D7BFA54">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vertAlign w:val="baseline"/>
          <w:lang w:val="en-US" w:eastAsia="zh-CN"/>
        </w:rPr>
        <w:t>3.倾倒有毒有害物质、废弃物、垃圾的项目等。</w:t>
      </w:r>
    </w:p>
    <w:p w14:paraId="1798EFC8">
      <w:pPr>
        <w:keepNext w:val="0"/>
        <w:keepLines w:val="0"/>
        <w:pageBreakBefore w:val="0"/>
        <w:widowControl w:val="0"/>
        <w:kinsoku/>
        <w:wordWrap/>
        <w:overflowPunct/>
        <w:topLinePunct w:val="0"/>
        <w:autoSpaceDE/>
        <w:autoSpaceDN/>
        <w:bidi w:val="0"/>
        <w:adjustRightInd/>
        <w:snapToGrid w:val="0"/>
        <w:spacing w:line="560" w:lineRule="exact"/>
        <w:ind w:left="960" w:hanging="960" w:hangingChars="3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4.污染环境、破坏自然资源或自然景观、对自然保护区主要保护对象产生重大影响的设施。</w:t>
      </w:r>
    </w:p>
    <w:p w14:paraId="76B144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val="en-US" w:eastAsia="zh-CN"/>
        </w:rPr>
        <w:t>5.法律法规和规章禁止修筑的其他设施。</w:t>
      </w:r>
    </w:p>
    <w:p w14:paraId="547190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1429C71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52730"/>
    <w:rsid w:val="1F05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2026-01-13T01:51:00Z</dcterms:created>
  <dc:creator>毛啊毛</dc:creator>
  <cp:lastModifiedBy>毛啊毛</cp:lastModifiedBy>
  <dcterms:modified xsi:type="dcterms:W3CDTF">2026-01-13T01:52:39Z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D6184BDB06F74D6FBBB8AC82B94992C0_11</vt:lpwstr>
  </property>
  <property fmtid="{D5CDD505-2E9C-101B-9397-08002B2CF9AE}" pid="4" name="KSOTemplateDocerSaveRecord">
    <vt:lpwstr>eyJoZGlkIjoiMTkwZDQ4MTI4MDAyZGZiZjk1N2UyNTYyOWNmYTQzMDgiLCJ1c2VySWQiOiIyMDk2Njk2NzQifQ==</vt:lpwstr>
  </property>
</Properties>
</file>